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Сводный отчет о проведении оценки</w:t>
      </w:r>
    </w:p>
    <w:p>
      <w:pPr>
        <w:pStyle w:val="ConsPlusNormal"/>
        <w:ind w:right="-108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регулирующего воздействия проекта приказа департамента природных ресурсов и экологии Брянской области «Об утверждении порядка выбора способа расчета объема и (или) массы твердых коммунальных отходов                   в целях расчетов по договорам на оказание услуг по обращению с твердыми коммунальными отходами региональным оператором по обращению                      с твердыми коммунальными отходами и (или) потребителем услуги                    по обращению с твердыми коммунальными отходами на территории Брянской области»  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suppressAutoHyphens w:val="false"/>
              <w:ind w:firstLine="567"/>
              <w:jc w:val="both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Сроки проведения публичного обсуждения проекта нормативного правового акта:</w:t>
            </w:r>
          </w:p>
          <w:p>
            <w:pPr>
              <w:pStyle w:val="Normal"/>
              <w:widowControl w:val="false"/>
              <w:suppressLineNumbers/>
              <w:suppressAutoHyphens w:val="false"/>
              <w:ind w:firstLine="567"/>
              <w:rPr>
                <w:rFonts w:ascii="Times New Roman" w:hAnsi="Times New Roman" w:cs="Times New Roman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eastAsia="ru-RU" w:bidi="ar-SA"/>
              </w:rPr>
              <w:t>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ачало: «9» сентября 2025 года</w:t>
            </w:r>
          </w:p>
          <w:p>
            <w:pPr>
              <w:pStyle w:val="Normal"/>
              <w:widowControl w:val="false"/>
              <w:suppressLineNumbers/>
              <w:suppressAutoHyphens w:val="false"/>
              <w:ind w:firstLine="567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окончание: «2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» сентября 2025 года</w:t>
            </w:r>
          </w:p>
        </w:tc>
      </w:tr>
    </w:tbl>
    <w:p>
      <w:pPr>
        <w:pStyle w:val="Normal"/>
        <w:widowControl w:val="false"/>
        <w:suppressLineNumbers/>
        <w:suppressAutoHyphens w:val="fals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suppressAutoHyphens w:val="false"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Общая информация</w:t>
      </w:r>
    </w:p>
    <w:tbl>
      <w:tblPr>
        <w:tblW w:w="9639" w:type="dxa"/>
        <w:jc w:val="left"/>
        <w:tblInd w:w="5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36" w:leader="none"/>
              </w:tabs>
              <w:ind w:right="113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1.1. Орган исполнительной власти Брянской области (далее — разработчик):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департамент природных ресурсов и экологии Брянской области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36" w:leader="none"/>
              </w:tabs>
              <w:ind w:right="113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1.2. Сведения об органах исполнительной власти Брянской области – соисполнителях: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1.3. Вид и наименование проекта нормативного правового акта:                                  </w:t>
            </w:r>
            <w:r>
              <w:rPr>
                <w:rFonts w:ascii="PT Astra Serif" w:hAnsi="PT Astra Serif"/>
                <w:i/>
                <w:iCs/>
                <w:sz w:val="28"/>
                <w:szCs w:val="28"/>
              </w:rPr>
              <w:t>приказ департамента природных ресурсов и экологии Брянской                          области «Об утверждении порядка выбора способа расчета объема и (или) массы твердых коммунальных отходов в целях расчетов по договорам                       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 на территории Брянской области»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Pt-pt-a-000003-000002"/>
              <w:widowControl w:val="false"/>
              <w:shd w:val="clear" w:color="auto" w:fill="FFFFFF"/>
              <w:suppressAutoHyphens w:val="true"/>
              <w:spacing w:lineRule="atLeast" w:line="252" w:beforeAutospacing="0" w:before="0" w:afterAutospacing="0" w:after="0"/>
              <w:ind w:firstLine="706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1.4. Краткое описание проблемы, на решение которой направлен предлагаемый способ регулирования: </w:t>
            </w:r>
            <w:r>
              <w:rPr>
                <w:rFonts w:ascii="PT Astra Serif" w:hAnsi="PT Astra Serif"/>
                <w:i/>
                <w:iCs/>
                <w:sz w:val="28"/>
                <w:szCs w:val="28"/>
              </w:rPr>
              <w:t>в соответствии с положениями                 статей 6, 24.10 Федерального закона от 24 июня 1998 года № 89-ФЗ                    «Об отходах производства и потребления»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i/>
                <w:iCs/>
                <w:sz w:val="28"/>
                <w:szCs w:val="28"/>
              </w:rPr>
              <w:t>Законом Брянской области                     от 1 апреля 2024 года № 24-З «О внесении изменений в Закон Брянской области «Об отходах производства и потребления» статья 3 Закона Брянской области «Об отходах производства и потребления» дополнена полномочием органа исполнительной власти Брянской области, уполномоченного в области обращения с отходами, по утверждению  порядка выбора способа расчета объема и (или) массы твердых коммунальных отходов в целях расчетов по договорам на оказание услуг по обращению                       с твердыми коммунальными отходами региональным оператором                               по обращению с твердыми коммунальными отходами и (или) потребителем услуги по обращению с твердыми коммунальными отходами.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36" w:leader="none"/>
              </w:tabs>
              <w:ind w:right="113" w:firstLine="567"/>
              <w:jc w:val="both"/>
              <w:rPr>
                <w:rFonts w:ascii="PT Astra Serif" w:hAnsi="PT Astra Serif"/>
              </w:rPr>
            </w:pPr>
            <w:r>
              <w:rPr>
                <w:rFonts w:cs="Times New Roman" w:ascii="PT Astra Serif" w:hAnsi="PT Astra Serif"/>
                <w:sz w:val="28"/>
                <w:szCs w:val="28"/>
              </w:rPr>
              <w:t xml:space="preserve">1.5. Основание для разработки проекта нормативного правового акта: </w:t>
            </w:r>
            <w:r>
              <w:rPr>
                <w:rFonts w:ascii="PT Astra Serif" w:hAnsi="PT Astra Serif"/>
                <w:i/>
                <w:kern w:val="2"/>
                <w:sz w:val="28"/>
                <w:szCs w:val="28"/>
              </w:rPr>
              <w:t xml:space="preserve">Федеральный закон от </w:t>
            </w:r>
            <w:r>
              <w:rPr>
                <w:rFonts w:cs="Times New Roman" w:ascii="PT Astra Serif" w:hAnsi="PT Astra Serif"/>
                <w:i/>
                <w:iCs/>
                <w:kern w:val="2"/>
                <w:sz w:val="28"/>
                <w:szCs w:val="28"/>
                <w:lang w:eastAsia="ru-RU"/>
              </w:rPr>
              <w:t>24 июня 1998 года № 89-ФЗ «Об отходах производства и потребления», Закон Брянской области от 11 мая 2006 года № 29-З «Об отходах производства и потребления», постановление Правительства Российской Федерации от 24 мая 2024 года № 671                                  «О коммерческом учете объема и (или) массы твердых коммунальных отходов»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36" w:leader="none"/>
              </w:tabs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1.6. Краткое описание целей предлагаемого регулирования: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>целями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 xml:space="preserve">разработки проекта нормативного правового акта являются определение порядка выбора способа расчета объема и (или) </w:t>
            </w:r>
            <w:r>
              <w:rPr>
                <w:rFonts w:cs="Times New Roman" w:ascii="PT Astra Serif" w:hAnsi="PT Astra Serif"/>
                <w:i/>
                <w:iCs/>
                <w:sz w:val="28"/>
                <w:szCs w:val="28"/>
              </w:rPr>
              <w:t>массы твердых коммунальных отходов в целях расчетов по договорам на оказание услуг                  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  на территории Брянской области, а также процедуры изменения одного способа расчета объема и (или) массы твердых коммунальных отходов              на другой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36" w:leader="none"/>
              </w:tabs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1.7. Краткое описание предлагаемого способа регулирования: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проектом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приказа департамента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определен порядок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 xml:space="preserve">выбора способа расчета объема                  и (или) </w:t>
            </w:r>
            <w:r>
              <w:rPr>
                <w:rFonts w:cs="Times New Roman" w:ascii="PT Astra Serif" w:hAnsi="PT Astra Serif"/>
                <w:i/>
                <w:iCs/>
                <w:sz w:val="28"/>
                <w:szCs w:val="28"/>
              </w:rPr>
              <w:t>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  на территории Брянской области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36" w:leader="none"/>
              </w:tabs>
              <w:ind w:right="113" w:firstLine="567"/>
              <w:jc w:val="both"/>
              <w:rPr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1.8. Контактная информация исполнителя разработчика: Захарова Ольга Александровна</w:t>
            </w:r>
            <w:r>
              <w:rPr>
                <w:i/>
                <w:sz w:val="28"/>
                <w:szCs w:val="28"/>
              </w:rPr>
              <w:t>, главный консультант отдела правового и кадрового обеспечения департамента</w:t>
            </w:r>
          </w:p>
          <w:p>
            <w:pPr>
              <w:pStyle w:val="Normal"/>
              <w:widowControl w:val="false"/>
              <w:suppressLineNumbers/>
              <w:tabs>
                <w:tab w:val="clear" w:pos="709"/>
                <w:tab w:val="left" w:pos="1136" w:leader="none"/>
              </w:tabs>
              <w:ind w:right="113"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Телефон, адрес электронной почты: 64-63-90</w:t>
            </w:r>
            <w:r>
              <w:rPr>
                <w:i/>
                <w:sz w:val="28"/>
                <w:szCs w:val="28"/>
              </w:rPr>
              <w:t xml:space="preserve">, </w:t>
            </w:r>
            <w:r>
              <w:rPr>
                <w:i w:val="false"/>
                <w:iCs w:val="false"/>
                <w:sz w:val="28"/>
                <w:szCs w:val="28"/>
                <w:lang w:val="en-US"/>
              </w:rPr>
              <w:t>ok-dpr32@mail.ru</w:t>
            </w:r>
          </w:p>
        </w:tc>
      </w:tr>
    </w:tbl>
    <w:p>
      <w:pPr>
        <w:pStyle w:val="Normal"/>
        <w:widowControl w:val="false"/>
        <w:suppressLineNumbers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Степень регулирующего воздействия проекта</w:t>
      </w:r>
    </w:p>
    <w:p>
      <w:pPr>
        <w:pStyle w:val="ListParagraph"/>
        <w:widowControl w:val="false"/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нормативного правового акта</w:t>
      </w:r>
    </w:p>
    <w:tbl>
      <w:tblPr>
        <w:tblW w:w="9639" w:type="dxa"/>
        <w:jc w:val="left"/>
        <w:tblInd w:w="5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  <w:tab w:val="left" w:pos="1162" w:leader="none"/>
              </w:tabs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2.1. Степень регулирующего воздействия проекта нормативного правового акта: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 xml:space="preserve"> высокая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tabs>
                <w:tab w:val="clear" w:pos="709"/>
                <w:tab w:val="left" w:pos="1162" w:leader="none"/>
              </w:tabs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2.2. Обоснование отнесения проекта нормативного правового акта </w:t>
              <w:br/>
              <w:t>к определенной степени регулирующего воздействия: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 xml:space="preserve"> проект акта </w:t>
              <w:br/>
              <w:t xml:space="preserve">не содержит положений, устанавливающих ранее не предусмотренные законодательством Российской Федерации и Брянской области обязанности, запреты и ограничения для физических и юридических лиц в сфере предпринимательской и иной экономической деятельности, а также изменяющие ранее предусмотренные законодательством Российской Федерации и Брянской области и иными нормативными правовыми актами обязанности, запреты и ограничения для физических и юридических лиц </w:t>
              <w:br/>
              <w:t>в сфере предпринимательской и иной экономической деятельности, однако подлежит оценке регулирующего воздействия</w:t>
            </w:r>
          </w:p>
        </w:tc>
      </w:tr>
    </w:tbl>
    <w:p>
      <w:pPr>
        <w:pStyle w:val="Normal"/>
        <w:widowControl w:val="false"/>
        <w:suppressLineNumbers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Описание проблемы, на решение которой направлен</w:t>
      </w:r>
    </w:p>
    <w:p>
      <w:pPr>
        <w:pStyle w:val="ListParagraph"/>
        <w:widowControl w:val="false"/>
        <w:suppressLineNumbers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предлагаемый способ регулирования, оценка негативных эффектов,</w:t>
      </w:r>
    </w:p>
    <w:p>
      <w:pPr>
        <w:pStyle w:val="ListParagraph"/>
        <w:widowControl w:val="false"/>
        <w:suppressLineNumbers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возникающих в связи с наличием рассматриваемой проблемы</w:t>
      </w:r>
    </w:p>
    <w:tbl>
      <w:tblPr>
        <w:tblStyle w:val="ab"/>
        <w:tblW w:w="963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/>
          </w:tcPr>
          <w:p>
            <w:pPr>
              <w:pStyle w:val="ListParagraph"/>
              <w:widowControl w:val="false"/>
              <w:suppressLineNumbers/>
              <w:tabs>
                <w:tab w:val="clear" w:pos="709"/>
                <w:tab w:val="left" w:pos="1107" w:leader="none"/>
              </w:tabs>
              <w:suppressAutoHyphens w:val="true"/>
              <w:spacing w:before="0" w:after="0"/>
              <w:ind w:left="0" w:right="139" w:firstLine="567"/>
              <w:contextualSpacing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eastAsia="NSimSun" w:cs="Times New Roman" w:ascii="Times New Roman" w:hAnsi="Times New Roman"/>
                <w:sz w:val="28"/>
                <w:szCs w:val="28"/>
                <w:lang w:val="ru-RU" w:eastAsia="zh-CN" w:bidi="hi-IN"/>
              </w:rPr>
              <w:t xml:space="preserve">3.1. Описание проблемы, на решение которой направлен предлагаемый способ регулирования, условий и факторов ее существования: </w:t>
            </w:r>
            <w:r>
              <w:rPr>
                <w:rFonts w:eastAsia="NSimSun" w:cs="Times New Roman" w:ascii="Times New Roman" w:hAnsi="Times New Roman"/>
                <w:i/>
                <w:sz w:val="28"/>
                <w:szCs w:val="28"/>
                <w:lang w:val="ru-RU" w:eastAsia="zh-CN" w:bidi="hi-IN"/>
              </w:rPr>
              <w:t xml:space="preserve">                                 </w:t>
            </w:r>
            <w:r>
              <w:rPr>
                <w:rFonts w:eastAsia="NSimSun" w:cs="Times New Roman" w:ascii="PT Astra Serif" w:hAnsi="PT Astra Serif"/>
                <w:i/>
                <w:iCs/>
                <w:sz w:val="28"/>
                <w:szCs w:val="28"/>
                <w:lang w:val="ru-RU" w:eastAsia="zh-CN" w:bidi="hi-IN"/>
              </w:rPr>
              <w:t>в соответствии с положениями статей 6, 24.10 Федерального закона                 от 24 июня 1998 года № 89-ФЗ «Об отходах производства и потребления»</w:t>
            </w:r>
            <w:r>
              <w:rPr>
                <w:rFonts w:eastAsia="NSimSun" w:cs="Times New Roman" w:ascii="PT Astra Serif" w:hAnsi="PT Astra Serif"/>
                <w:i/>
                <w:sz w:val="28"/>
                <w:szCs w:val="28"/>
                <w:lang w:val="ru-RU" w:eastAsia="zh-CN" w:bidi="hi-IN"/>
              </w:rPr>
              <w:t xml:space="preserve"> </w:t>
            </w:r>
            <w:r>
              <w:rPr>
                <w:rFonts w:eastAsia="NSimSun" w:cs="Times New Roman" w:ascii="PT Astra Serif" w:hAnsi="PT Astra Serif"/>
                <w:i/>
                <w:iCs/>
                <w:sz w:val="28"/>
                <w:szCs w:val="28"/>
                <w:lang w:val="ru-RU" w:eastAsia="zh-CN" w:bidi="hi-IN"/>
              </w:rPr>
              <w:t xml:space="preserve">Законом Брянской области от 1 апреля 2024 года № 24-З «О внесении изменений в Закон Брянской области «Об отходах производства                                    и потребления» статья 3 Закона Брянской области от 11 мая 2006 года              № 29-З «Об отходах производства и потребления» дополнена полномочием органа исполнительной власти Брянской области, уполномоченного                          в области обращения с отходами, по утверждению  порядка выбора способа расчета объема и (или) 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                     с твердыми коммунальными отходами и (или) потребителем услуги                     по обращению с твердыми коммунальными отходами. До принятия  соответствующего нормативного правового акта коммерческий учет объема и (или) массы твердых коммунальных отходов в целях осуществления расчетов с потребителями осуществляется согласно пунктам 8 — 12 Правил коммерческого учета объема и (или) массы твердых коммунальных отходов, утвержденных постановлением Правительства Российской Федерации от 24 мая 2024 года № 671 </w:t>
            </w:r>
            <w:r>
              <w:rPr>
                <w:rFonts w:eastAsia="NSimSun" w:cs="Times New Roman" w:ascii="PT Astra Serif" w:hAnsi="PT Astra Serif"/>
                <w:i/>
                <w:iCs/>
                <w:kern w:val="2"/>
                <w:sz w:val="28"/>
                <w:szCs w:val="28"/>
                <w:lang w:val="ru-RU" w:eastAsia="ru-RU" w:bidi="hi-IN"/>
              </w:rPr>
              <w:t>«О коммерческом учете объема и (или) массы твердых коммунальных отходов»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ListParagraph"/>
              <w:widowControl w:val="false"/>
              <w:suppressLineNumbers/>
              <w:suppressAutoHyphens w:val="true"/>
              <w:spacing w:before="0" w:after="0"/>
              <w:ind w:left="0" w:right="139"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eastAsia="NSimSun" w:cs="Times New Roman" w:ascii="Times New Roman" w:hAnsi="Times New Roman"/>
                <w:sz w:val="28"/>
                <w:szCs w:val="28"/>
                <w:lang w:val="ru-RU" w:eastAsia="zh-CN" w:bidi="hi-IN"/>
              </w:rPr>
              <w:t>3.2. Негативные эффекты, возникающие в связи с наличием проблемы:</w:t>
            </w:r>
            <w:r>
              <w:rPr>
                <w:rFonts w:eastAsia="NSimSun" w:cs="Times New Roman" w:ascii="Times New Roman" w:hAnsi="Times New Roman"/>
                <w:i/>
                <w:sz w:val="28"/>
                <w:szCs w:val="28"/>
                <w:lang w:val="ru-RU" w:eastAsia="zh-CN" w:bidi="hi-IN"/>
              </w:rPr>
              <w:t xml:space="preserve"> </w:t>
            </w:r>
            <w:r>
              <w:rPr>
                <w:rFonts w:eastAsia="NSimSun" w:cs="Times New Roman" w:ascii="Times New Roman" w:hAnsi="Times New Roman"/>
                <w:i/>
                <w:color w:val="000000" w:themeColor="text1"/>
                <w:sz w:val="28"/>
                <w:szCs w:val="28"/>
                <w:lang w:val="ru-RU" w:eastAsia="zh-CN" w:bidi="hi-IN"/>
              </w:rPr>
              <w:t xml:space="preserve">не выявлены, так как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 xml:space="preserve">в соответствии с пунктом 1.1 статьи 24.10 Федерального закона от 24 июня 1998 года № 89-ФЗ «Об отходах производства и потребления» орган государственной власти субъекта  Российской Федерации вправе определить способ расчета объема и (или) массы твердых коммунальных отходов в целях расчетов по договорам                   на оказание  услуг по обращению с твердыми коммунальными отходами                и (или) утвердить порядок  выбора 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zh-CN" w:bidi="hi-IN"/>
              </w:rPr>
              <w:t xml:space="preserve">способа расчета объема и (или) 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отходами. При этом согласно пункту 7 Правил коммерческого учета объема и (или) массы твердых коммунальных отходов, утвержденных постановлением Правительства Российской Федерации от 24 мая 2024 года № 671                               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>«О коммерческом учете объема и (или) массы твердых коммунальных отходов»</w:t>
            </w:r>
            <w:r>
              <w:rPr>
                <w:rFonts w:eastAsia="NSimSun" w:cs="Times New Roman" w:ascii="Times New Roman" w:hAnsi="Times New Roman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 xml:space="preserve"> в случае отсутствия соответствующих нормативных правовых актов, принятых органом 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>государственной власти субъекта  Российской Федерации, в целях осуществления расчетов с потребителями коммерческий учет объема и (или) массы твердых коммунальных отходов осуществляется в соответствии с пунктами 8 — 12 указанных Правил.</w:t>
            </w:r>
          </w:p>
        </w:tc>
      </w:tr>
    </w:tbl>
    <w:tbl>
      <w:tblPr>
        <w:tblW w:w="9639" w:type="dxa"/>
        <w:jc w:val="left"/>
        <w:tblInd w:w="5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ListParagraph"/>
              <w:keepNext w:val="true"/>
              <w:widowControl w:val="false"/>
              <w:suppressLineNumbers/>
              <w:ind w:left="0" w:right="139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3.3. Информация о возникновении, выявлении проблемы, принятых мерах, направленных на ее решение, а также затраченных ресурсах </w:t>
              <w:br/>
              <w:t>и достигнутых результатах решения проблемы: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tabs>
                <w:tab w:val="clear" w:pos="709"/>
                <w:tab w:val="left" w:pos="1124" w:leader="none"/>
              </w:tabs>
              <w:ind w:left="57" w:right="139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3.4. Описание условий, при которых проблема может быть решена </w:t>
              <w:br/>
              <w:t>в целом без вмешательства со стороны государства: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проблема не может быть решена без вмешательства со стороны государства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tabs>
                <w:tab w:val="clear" w:pos="709"/>
                <w:tab w:val="left" w:pos="1124" w:leader="none"/>
              </w:tabs>
              <w:ind w:right="139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3.5. Источники данных: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tabs>
                <w:tab w:val="clear" w:pos="709"/>
                <w:tab w:val="left" w:pos="1124" w:leader="none"/>
              </w:tabs>
              <w:ind w:left="-28" w:right="139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3.6. Иная информация о проблеме: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Normal"/>
        <w:widowControl w:val="false"/>
        <w:suppressLineNumbers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Информация о содержании в проекте нормативного </w:t>
      </w:r>
    </w:p>
    <w:p>
      <w:pPr>
        <w:pStyle w:val="BodyText"/>
        <w:widowControl w:val="false"/>
        <w:suppressLineNumbers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правового акта обязательных требований</w:t>
      </w:r>
    </w:p>
    <w:tbl>
      <w:tblPr>
        <w:tblW w:w="9639" w:type="dxa"/>
        <w:jc w:val="left"/>
        <w:tblInd w:w="5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4.1. Наличие (отсутствие) обязательных требований: </w:t>
            </w:r>
            <w:r>
              <w:rPr>
                <w:rFonts w:cs="Times New Roman" w:ascii="Times New Roman" w:hAnsi="Times New Roman"/>
                <w:i/>
                <w:iCs/>
                <w:sz w:val="26"/>
                <w:szCs w:val="26"/>
              </w:rPr>
              <w:t>проект не предусматривает обязательные требования</w:t>
            </w:r>
          </w:p>
        </w:tc>
      </w:tr>
      <w:tr>
        <w:trPr>
          <w:trHeight w:val="353" w:hRule="atLeast"/>
        </w:trPr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4.2. Содержание обязательных требований (условия, ограничения, запреты, обязанности):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4.3. Субъекты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(индивидуальные предприниматели, юридические, физические лица), обязанные соблюдать обязательные требования: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4.4. Количественная оценка субъектов, обязанных соблюдать обязательные требования: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4.5. Перечень используемых объектов, к которым предъявляются обязательные требования при осуществлении деятельности, совершении действий: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4.6. Осуществляемая деятельность (совершаемые действия) в отношении которых устанавливаются обязательные требования: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4.7. Формы оценки соблюдения обязательных требований (государственный контроль (надзор), привлечение к административной ответственности, предоставление лицензий и иных разрешений, аккредитация, оценка соответствия продукции и иные формы оценки и экспертизы):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suppressLineNumbers/>
              <w:tabs>
                <w:tab w:val="clear" w:pos="709"/>
                <w:tab w:val="left" w:pos="1149" w:leader="none"/>
              </w:tabs>
              <w:spacing w:lineRule="auto" w:line="240" w:before="0" w:after="0"/>
              <w:ind w:right="113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4.8. Сведения об органах исполнительных власти Брянской области, осуществляющих оценку соблюдения обязательных требований: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>нет</w:t>
            </w:r>
          </w:p>
        </w:tc>
      </w:tr>
    </w:tbl>
    <w:p>
      <w:pPr>
        <w:pStyle w:val="BodyText"/>
        <w:widowControl w:val="false"/>
        <w:suppressLineNumbers/>
        <w:spacing w:lineRule="auto" w:line="240" w:before="0" w:after="0"/>
        <w:ind w:left="36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Анализ опыта других </w:t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 w:bidi="ar-SA"/>
        </w:rPr>
        <w:t>субъектов Российской Федерации</w:t>
      </w:r>
    </w:p>
    <w:p>
      <w:pPr>
        <w:pStyle w:val="ListParagraph"/>
        <w:widowControl w:val="false"/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в соответствующих сферах деятельности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5.1. Опыт других </w:t>
            </w: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 xml:space="preserve">субъектов Российской Федерации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 соответствующих сферах деятельности: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В ряде регионов Российской Федерации утверждены порядки выбора способа расчета объема твердых коммунальных отходов                 в целях расчетов по договорам на оказание услуг по обращению с твердыми коммунальными отходами региональным оператором по обращению                          с твердыми коммунальными отходами и (или) потребителем услуги                                по обращению с твердыми коммунальными отходами (например, постановление Правительство Кемеровской области - Кузбасса от 9 декабря 2024 года № 779 «Об утверждении Порядка выбора способа расчета объема твердых коммунальных отходов в целях расчетов по договорам на оказание услуг по обращению с твердыми коммунальными отходами региональным оператором и (или) потребителем услуги по обращению с твердыми коммунальными отходами»; постановление Кабинета Министров Чувашской Республики от 21 мая 2025 года № 291 «Об утверждении Порядка выбора  способа расчета объема твердых коммунальных отходов в целях расчетов               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                     с твердыми коммунальными отходами на территории Чувашской Республики»</w:t>
            </w:r>
          </w:p>
        </w:tc>
      </w:tr>
      <w:tr>
        <w:trPr>
          <w:trHeight w:val="799" w:hRule="atLeast"/>
        </w:trPr>
        <w:tc>
          <w:tcPr>
            <w:tcW w:w="96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5.2. Источники данных: </w:t>
            </w:r>
            <w:r>
              <w:rPr>
                <w:rFonts w:cs="Times New Roman" w:ascii="Times New Roman" w:hAnsi="Times New Roman"/>
                <w:bCs/>
                <w:i/>
                <w:iCs/>
                <w:sz w:val="28"/>
                <w:szCs w:val="28"/>
              </w:rPr>
              <w:t>официальный интернет-портал правовой информации (http://pravo.gov.ru)</w:t>
            </w:r>
          </w:p>
        </w:tc>
      </w:tr>
    </w:tbl>
    <w:p>
      <w:pPr>
        <w:pStyle w:val="Normal"/>
        <w:suppressLineNumbers/>
        <w:ind w:hanging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Цели предлагаемого регулирования и их соответствие</w:t>
      </w:r>
    </w:p>
    <w:p>
      <w:pPr>
        <w:pStyle w:val="ListParagraph"/>
        <w:suppressLineNumbers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принципам правового регулирования, программным документам</w:t>
      </w:r>
    </w:p>
    <w:p>
      <w:pPr>
        <w:pStyle w:val="ListParagraph"/>
        <w:suppressLineNumbers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Президента Российской Федерации, Правительства Российской</w:t>
      </w:r>
    </w:p>
    <w:p>
      <w:pPr>
        <w:pStyle w:val="ListParagraph"/>
        <w:suppressLineNumbers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Федерации, Губернатора Брянской области и </w:t>
      </w:r>
    </w:p>
    <w:p>
      <w:pPr>
        <w:pStyle w:val="ListParagraph"/>
        <w:suppressLineNumbers/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Правительства Брянской области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tabs>
                <w:tab w:val="clear" w:pos="709"/>
                <w:tab w:val="left" w:pos="60" w:leader="none"/>
              </w:tabs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6.1. Цели предлагаемого регулирования: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целями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разработки проекта нормативного правового акта являются определение порядка выбора способа расчета объема и (или) </w:t>
            </w:r>
            <w:r>
              <w:rPr>
                <w:rFonts w:cs="Times New Roman" w:ascii="PT Astra Serif" w:hAnsi="PT Astra Serif"/>
                <w:i/>
                <w:iCs/>
                <w:sz w:val="28"/>
                <w:szCs w:val="28"/>
                <w:lang w:eastAsia="ru-RU"/>
              </w:rPr>
              <w:t>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                                   с твердыми коммунальными отходами и (или) потребителем услуги                           по обращению с твердыми коммунальными отходами  на территории Брянской области, а также процедуры изменения одного способа расчета объема и (или) массы твердых коммунальных отходов  на другой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6.2. Установленные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сроки достижения целей предлагаемого регулирования: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с момента принятия нормативно-правового акта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6.3.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kern w:val="2"/>
                <w:sz w:val="28"/>
                <w:szCs w:val="28"/>
              </w:rPr>
              <w:t xml:space="preserve">цели правового регулирования соответствуют целям, установленным Федеральным законом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>от 24 июня 1998 года № 89-ФЗ «Об отходах производства и потребления»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6.4.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Иная информация о целях предлагаемого регулирования: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BodyText"/>
        <w:suppressLineNumbers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Описание предлагаемого регулирования и иных</w:t>
      </w:r>
    </w:p>
    <w:p>
      <w:pPr>
        <w:pStyle w:val="ListParagraph"/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возможных способов решения проблемы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kern w:val="2"/>
                <w:sz w:val="28"/>
                <w:szCs w:val="28"/>
              </w:rPr>
              <w:t xml:space="preserve">7.1. Описание предлагаемого способа решения проблемы и преодоления связанных с ней негативных эффектов: </w:t>
            </w:r>
            <w:r>
              <w:rPr>
                <w:i/>
                <w:iCs/>
                <w:kern w:val="2"/>
                <w:sz w:val="28"/>
                <w:szCs w:val="28"/>
              </w:rPr>
              <w:t xml:space="preserve">утверждение </w:t>
            </w:r>
            <w:r>
              <w:rPr>
                <w:rFonts w:eastAsia="NSimSun" w:cs="Times New Roman" w:ascii="PT Astra Serif" w:hAnsi="PT Astra Serif"/>
                <w:i/>
                <w:iCs/>
                <w:kern w:val="2"/>
                <w:sz w:val="28"/>
                <w:szCs w:val="28"/>
                <w:lang w:val="ru-RU" w:eastAsia="zh-CN" w:bidi="hi-IN"/>
              </w:rPr>
              <w:t>органом исполнительной власти Брянской области, уполномоченного в области обращения с отходами, порядка выбора способа расчета объема и (или) 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7.2.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                        1) </w:t>
            </w:r>
            <w:r>
              <w:rPr>
                <w:rFonts w:cs="Times New Roman" w:ascii="Times New Roman" w:hAnsi="Times New Roman"/>
                <w:i/>
                <w:iCs/>
                <w:kern w:val="2"/>
                <w:sz w:val="28"/>
                <w:szCs w:val="28"/>
                <w:lang w:eastAsia="ru-RU"/>
              </w:rPr>
              <w:t xml:space="preserve">определение </w:t>
            </w:r>
            <w:r>
              <w:rPr>
                <w:rFonts w:eastAsia="NSimSun" w:cs="Times New Roman" w:ascii="PT Astra Serif" w:hAnsi="PT Astra Serif"/>
                <w:i/>
                <w:iCs/>
                <w:kern w:val="2"/>
                <w:sz w:val="28"/>
                <w:szCs w:val="28"/>
                <w:lang w:val="ru-RU" w:eastAsia="zh-CN" w:bidi="hi-IN"/>
              </w:rPr>
              <w:t>органом исполнительной власти Брянской области, уполномоченного в области обращения с отходами, способа расчета объема и (или) 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отходами;</w:t>
            </w:r>
          </w:p>
          <w:p>
            <w:pPr>
              <w:pStyle w:val="Style13"/>
              <w:widowControl w:val="false"/>
              <w:ind w:right="86" w:hanging="0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NSimSun" w:cs="Times New Roman" w:ascii="PT Astra Serif" w:hAnsi="PT Astra Serif"/>
                <w:i/>
                <w:iCs/>
                <w:kern w:val="2"/>
                <w:sz w:val="28"/>
                <w:szCs w:val="28"/>
                <w:lang w:val="ru-RU" w:eastAsia="zh-CN" w:bidi="hi-IN"/>
              </w:rPr>
              <w:t xml:space="preserve">2)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непринятие на региональном уровне нормативных правовых актов, определяющих </w:t>
            </w:r>
            <w:r>
              <w:rPr>
                <w:rFonts w:eastAsia="NSimSun" w:cs="Times New Roman" w:ascii="PT Astra Serif" w:hAnsi="PT Astra Serif"/>
                <w:i/>
                <w:iCs/>
                <w:kern w:val="2"/>
                <w:sz w:val="28"/>
                <w:szCs w:val="28"/>
                <w:lang w:val="ru-RU" w:eastAsia="zh-CN" w:bidi="hi-IN"/>
              </w:rPr>
              <w:t>способ расчета объема и (или) массы твердых коммунальных отходов или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NSimSun" w:cs="Times New Roman" w:ascii="PT Astra Serif" w:hAnsi="PT Astra Serif"/>
                <w:i/>
                <w:iCs/>
                <w:kern w:val="2"/>
                <w:sz w:val="28"/>
                <w:szCs w:val="28"/>
                <w:lang w:val="ru-RU" w:eastAsia="zh-CN" w:bidi="hi-IN"/>
              </w:rPr>
              <w:t xml:space="preserve">порядок выбора способа расчета объема и (или) массы твердых коммунальных отходов  в целях расчетов по договорам на оказание услуг              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отходами, при регулировании коммерческого учета объема и (или) массы твердых коммунальных отходов нормами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zh-CN" w:bidi="hi-IN"/>
              </w:rPr>
              <w:t xml:space="preserve">Правил коммерческого учета объема и (или) массы твердых коммунальных отходов, утвержденных постановлением Правительства Российской Федерации от 24 мая 2024 года № 671                               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>«О коммерческом учете объема и (или) массы твердых коммунальных отходов»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7.3. Обоснование выбора предлагаемого способа решения проблемы:                    ст. 24.10 </w:t>
            </w:r>
            <w:r>
              <w:rPr>
                <w:rFonts w:cs="Times New Roman" w:ascii="Times New Roman" w:hAnsi="Times New Roman"/>
                <w:i/>
                <w:iCs/>
                <w:kern w:val="2"/>
                <w:sz w:val="28"/>
                <w:szCs w:val="28"/>
                <w:lang w:eastAsia="ru-RU"/>
              </w:rPr>
              <w:t xml:space="preserve">Федерального закона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ru-RU" w:bidi="hi-IN"/>
              </w:rPr>
              <w:t xml:space="preserve">от 24 июня 1998 года № 89-ФЗ «Об отходах производства и потребления», статья  3 </w:t>
            </w:r>
            <w:r>
              <w:rPr>
                <w:rFonts w:eastAsia="NSimSun" w:cs="Times New Roman" w:ascii="PT Astra Serif" w:hAnsi="PT Astra Serif"/>
                <w:i/>
                <w:iCs/>
                <w:color w:val="000000" w:themeColor="text1"/>
                <w:kern w:val="2"/>
                <w:sz w:val="28"/>
                <w:szCs w:val="28"/>
                <w:lang w:val="ru-RU" w:eastAsia="zh-CN" w:bidi="hi-IN"/>
              </w:rPr>
              <w:t>Закона Брянской области от 11 мая 2006 года № 29-З «Об отходах производства и потребления»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-55" w:right="86" w:firstLine="567"/>
              <w:jc w:val="both"/>
              <w:rPr>
                <w:rFonts w:ascii="Times New Roman" w:hAnsi="Times New Roman" w:eastAsia="Calibri" w:cs="Times New Roman"/>
                <w:i/>
                <w:i/>
                <w:iCs/>
                <w:szCs w:val="28"/>
                <w:lang w:eastAsia="ru-RU" w:bidi="ar-SA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 w:bidi="ar-SA"/>
              </w:rPr>
              <w:t>7.4. Иная информация о предлагаемом способе решения проблемы:</w:t>
            </w:r>
            <w:r>
              <w:rPr>
                <w:rFonts w:eastAsia="Calibri" w:cs="Times New Roman" w:ascii="Times New Roman" w:hAnsi="Times New Roman"/>
                <w:i/>
                <w:iCs/>
                <w:sz w:val="28"/>
                <w:szCs w:val="28"/>
                <w:lang w:eastAsia="ru-RU" w:bidi="ar-SA"/>
              </w:rPr>
              <w:t xml:space="preserve"> нет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Анализ влияния социально-экономических последствий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реализации проекта нормативного правового акта на деятельность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субъектов малого и среднего предпринимательства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left="884" w:hanging="851"/>
              <w:jc w:val="center"/>
              <w:rPr>
                <w:rFonts w:ascii="Times New Roman" w:hAnsi="Times New Roman" w:eastAsia="Calibri" w:cs="Times New Roman"/>
                <w:i/>
                <w:i/>
                <w:iCs/>
                <w:szCs w:val="28"/>
                <w:lang w:eastAsia="ru-RU" w:bidi="ar-SA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8"/>
                <w:szCs w:val="28"/>
                <w:lang w:eastAsia="ru-RU" w:bidi="ar-SA"/>
              </w:rPr>
              <w:t>нет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284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Анализ влияния последствий реализации проекта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нормативного правового акта на экономическое развитие отраслей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экономики и социальной сферы Брянской области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left="884" w:hanging="851"/>
              <w:jc w:val="center"/>
              <w:rPr>
                <w:rFonts w:ascii="Times New Roman" w:hAnsi="Times New Roman" w:eastAsia="Calibri" w:cs="Times New Roman"/>
                <w:i/>
                <w:i/>
                <w:iCs/>
                <w:szCs w:val="28"/>
                <w:lang w:eastAsia="ru-RU" w:bidi="ar-SA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8"/>
                <w:szCs w:val="28"/>
                <w:lang w:eastAsia="ru-RU" w:bidi="ar-SA"/>
              </w:rPr>
              <w:t>не проводился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Основные группы субъектов предпринимательской и </w:t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 w:bidi="ar-SA"/>
        </w:rPr>
        <w:t>иной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 w:bidi="ar-SA"/>
        </w:rPr>
        <w:t>экономической деятельности</w:t>
      </w: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, интересы которых будут затронуты предлагаемым правовым регулированием, оценка количества таких субъектов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10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.1.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Группа участников отношений: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региональный оператор                              по обращению с твердыми коммунальными отходами (АО «Чистая планета»), потребители услуги по обращению с твердыми коммунальными отходами  (субъекты предпринимательской деятельности и иные хозяйствующие субъекты, население)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654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10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.2.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Оценка количества участников отношений: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654"/>
              <w:jc w:val="both"/>
              <w:outlineLvl w:val="1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- собственники домовладений (9 845 многоквартирных домов  (количество собственников жилых помещений не определено);  285 105 индивидуальных жилых домов);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firstLine="654"/>
              <w:jc w:val="both"/>
              <w:outlineLvl w:val="1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- собственники нежилых помещений (административные здания, учреждения, конторы - 1 612; предприятия торговли — 6 291; предприятия транспортной инфраструктуры — 1 860; дошкольные и учебные заведения — 1 254; культурно-развлекательные, спортивные учреждения  - 1 178; предприятия общественного питания — 892; предприятия службы быта — 2 260; предприятия в сфере похоронных услуг — 820; объекты Министерства обороны — 39; иные объекты - 86)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10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.3.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Источники данных: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территориальная схема обращения с отходами Брянской области, утвержденная приказом департамента природных ресурсов и экологии Брянской области от 16 декабря 2024 года № 668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Новые функции, полномочия, обязанности и права 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органов исполнительных власти Брянской области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или их изменение, а также порядок их реализации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11.1.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Наименование органа исполнительного власти Брянской области: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департамент природных ресурсов и экологии Брянской области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11.2. Описание новых или изменения существующих функций, полномочий, обязанностей или прав: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отсутствуют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11.3. Порядок реализации:-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right="113" w:firstLine="654"/>
              <w:jc w:val="both"/>
              <w:rPr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11.4. Оценка изменения трудозатрат и (или) потребностей в иных ресурсах: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</w:tbl>
    <w:p>
      <w:pPr>
        <w:pStyle w:val="Normal"/>
        <w:suppressLineNumbers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Оценка соответствующих расходов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(возможных поступлений) областного бюджета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836"/>
        <w:gridCol w:w="3802"/>
      </w:tblGrid>
      <w:tr>
        <w:trPr/>
        <w:tc>
          <w:tcPr>
            <w:tcW w:w="96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12.1.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Наименование органа исполнительного власти Брянской области: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департамент природных ресурсов и экологии Брянской области</w:t>
            </w:r>
          </w:p>
        </w:tc>
      </w:tr>
      <w:tr>
        <w:trPr/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12.2.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 Наименование новой или изменяемой функции, полномочия, обязанности или права: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отсутствуют</w:t>
            </w:r>
          </w:p>
        </w:tc>
      </w:tr>
      <w:tr>
        <w:trPr/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12.3.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Описание видов расходов (возможных поступлений) областного бюджета: </w:t>
            </w:r>
            <w:r>
              <w:rPr>
                <w:rFonts w:cs="Times New Roman" w:ascii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12.4.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Количественная оценка расходов (возможных поступлений):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5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12.4.1. единовременные расходы в год возникновения (_______год)</w:t>
            </w:r>
          </w:p>
        </w:tc>
        <w:tc>
          <w:tcPr>
            <w:tcW w:w="38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3"/>
              <w:widowControl w:val="false"/>
              <w:snapToGrid w:val="false"/>
              <w:ind w:firstLine="567"/>
              <w:jc w:val="center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Cs w:val="28"/>
              </w:rPr>
              <w:t>нет</w:t>
            </w:r>
          </w:p>
        </w:tc>
      </w:tr>
      <w:tr>
        <w:trPr/>
        <w:tc>
          <w:tcPr>
            <w:tcW w:w="5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12.4.2. периодические расходы за период  _________</w:t>
            </w:r>
          </w:p>
        </w:tc>
        <w:tc>
          <w:tcPr>
            <w:tcW w:w="38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3"/>
              <w:widowControl w:val="false"/>
              <w:snapToGrid w:val="false"/>
              <w:ind w:firstLine="567"/>
              <w:jc w:val="center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Cs w:val="28"/>
              </w:rPr>
              <w:t>нет</w:t>
            </w:r>
          </w:p>
        </w:tc>
      </w:tr>
      <w:tr>
        <w:trPr/>
        <w:tc>
          <w:tcPr>
            <w:tcW w:w="5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12.4.3. возможные поступления </w:t>
            </w: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в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год (______ год)</w:t>
            </w:r>
          </w:p>
        </w:tc>
        <w:tc>
          <w:tcPr>
            <w:tcW w:w="38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3"/>
              <w:widowControl w:val="false"/>
              <w:snapToGrid w:val="false"/>
              <w:ind w:firstLine="567"/>
              <w:jc w:val="center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Cs w:val="28"/>
              </w:rPr>
              <w:t>нет</w:t>
            </w:r>
          </w:p>
        </w:tc>
      </w:tr>
      <w:tr>
        <w:trPr/>
        <w:tc>
          <w:tcPr>
            <w:tcW w:w="58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12.4.4. возможные поступления за период ________</w:t>
            </w:r>
          </w:p>
        </w:tc>
        <w:tc>
          <w:tcPr>
            <w:tcW w:w="38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3"/>
              <w:widowControl w:val="false"/>
              <w:snapToGrid w:val="false"/>
              <w:ind w:firstLine="567"/>
              <w:jc w:val="center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Cs w:val="28"/>
              </w:rPr>
              <w:t>нет</w:t>
            </w:r>
          </w:p>
          <w:p>
            <w:pPr>
              <w:pStyle w:val="Style13"/>
              <w:widowControl w:val="false"/>
              <w:ind w:firstLine="56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Cs w:val="28"/>
              </w:rPr>
            </w:r>
          </w:p>
        </w:tc>
      </w:tr>
      <w:tr>
        <w:trPr/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12.5. Иные сведения о расходах (возможных поступлениях) областного бюджета: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12.6. Источники данных: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Новые обязанности или ограничения для субъектов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предпринимательской и </w:t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 w:bidi="ar-SA"/>
        </w:rPr>
        <w:t>иной экономической деятельности</w:t>
      </w: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 либо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изменение содержания существующих обязанностей и ограничений,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а также порядок организации их исполнения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-57"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13.1. Группа участников отношений: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юридические лица, индивидуальные предприниматели, осуществляющие деятельность на территории Брянской области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left="-57"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13.2.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Описание новых или изменения содержания существующих обязанностей и ограничений: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отсутствуют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-57"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13.3. Порядок организации исполнения обязанностей и ограничений: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Normal"/>
        <w:suppressLineNumbers/>
        <w:ind w:left="57" w:firstLine="5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Оценка расходов субъектов предпринимательской и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 w:bidi="ar-SA"/>
        </w:rPr>
        <w:t>иной экономической</w:t>
      </w: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 xml:space="preserve"> деятельности, связанных с необходимостью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соблюдения установленных обязанностей или ограничений либо</w:t>
      </w:r>
    </w:p>
    <w:p>
      <w:pPr>
        <w:pStyle w:val="ListParagraph"/>
        <w:suppressLineNumbers/>
        <w:tabs>
          <w:tab w:val="clear" w:pos="709"/>
          <w:tab w:val="left" w:pos="567" w:leader="none"/>
        </w:tabs>
        <w:ind w:left="0" w:hanging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изменением содержания таких обязанностей или ограничений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14.1. Группа участников отношений: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юридические лица, индивидуальные предприниматели,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осуществляющие деятельность </w:t>
            </w:r>
            <w:r>
              <w:rPr>
                <w:i/>
                <w:iCs/>
                <w:sz w:val="28"/>
                <w:szCs w:val="28"/>
              </w:rPr>
              <w:t>на территории Брянской области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14.2. Описание новых или изменения содержания существующих обязанностей и ограничений: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14.3. Описание и оценка видов расходов: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14.4. Источники данных: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Информация об отмене обязанностей, запретов или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ограничений для субъектов предпринимательской или иной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экономической деятельности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left="884" w:hanging="851"/>
              <w:jc w:val="center"/>
              <w:rPr>
                <w:rFonts w:ascii="Times New Roman" w:hAnsi="Times New Roman" w:eastAsia="Calibri" w:cs="Times New Roman"/>
                <w:i/>
                <w:i/>
                <w:iCs/>
                <w:szCs w:val="28"/>
                <w:lang w:eastAsia="ru-RU" w:bidi="ar-SA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8"/>
                <w:szCs w:val="28"/>
                <w:lang w:eastAsia="ru-RU" w:bidi="ar-SA"/>
              </w:rPr>
              <w:t>нет</w:t>
            </w:r>
          </w:p>
        </w:tc>
      </w:tr>
    </w:tbl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Риски решения проблемы предложенным способом регулирования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 риски негативных последствий, а также описание методов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контроля эффективности избранного способа достижения</w:t>
      </w:r>
    </w:p>
    <w:p>
      <w:pPr>
        <w:pStyle w:val="Normal"/>
        <w:suppressLineNumber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целей регулирования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>
          <w:trHeight w:val="779" w:hRule="atLeast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57"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16.1. Риски решения проблемы предложенным способом и риски негативных последствий: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57"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16.2. Оценки вероятности наступления рисков: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57"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16.3. Методы контроля эффективности избранного способа достижения целей регулирования: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left="57"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16.4. Степень контроля рисков: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suppressLineNumbers/>
              <w:ind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16.5. Источники данных: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Normal"/>
        <w:suppressLineNumbers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Предполагаемая дата вступления в силу проекта нормативного правового акта, оценка необходимости установления переходного периода и (или) отсрочки вступления в силу проекта нормативного правового акта либо необходимость распространения предлагаемого регулирования на ранее возникшие отношения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spacing w:val="-8"/>
                <w:kern w:val="0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pacing w:val="-8"/>
                <w:kern w:val="0"/>
                <w:sz w:val="28"/>
                <w:szCs w:val="28"/>
                <w:lang w:eastAsia="ru-RU"/>
              </w:rPr>
              <w:t xml:space="preserve">17.1. Предполагаемая дата вступления в силу проекта нормативного правового акта: </w:t>
            </w:r>
            <w:r>
              <w:rPr>
                <w:rFonts w:cs="Times New Roman" w:ascii="Times New Roman" w:hAnsi="Times New Roman"/>
                <w:i/>
                <w:spacing w:val="-8"/>
                <w:sz w:val="28"/>
                <w:szCs w:val="28"/>
              </w:rPr>
              <w:t>дата официального опубликования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eastAsia="ru-RU"/>
              </w:rPr>
              <w:t xml:space="preserve">17.2. Необходимость установления переходного периода и (или) отсрочки </w:t>
            </w:r>
            <w:r>
              <w:rPr>
                <w:rFonts w:cs="Times New Roman" w:ascii="Times New Roman" w:hAnsi="Times New Roman"/>
                <w:spacing w:val="-8"/>
                <w:kern w:val="0"/>
                <w:sz w:val="28"/>
                <w:szCs w:val="28"/>
                <w:lang w:eastAsia="ru-RU"/>
              </w:rPr>
              <w:t>введения предлагаемого регулирования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cs="Times New Roman" w:ascii="Times New Roman" w:hAnsi="Times New Roman"/>
                <w:i/>
                <w:iCs/>
                <w:kern w:val="0"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17.3. Срок переходного периода: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17.4. </w:t>
            </w: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С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рок: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17.5.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Необходимость распространения предлагаемого регулирования </w:t>
              <w:br/>
              <w:t xml:space="preserve">на ранее возникшие отношения: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17.6. Обоснование необходимости установления переходного периода </w:t>
              <w:br/>
              <w:t xml:space="preserve">и (или) отсрочки вступления в силу проекта нормативного правового акта либо необходимости распространения предлагаемого регулирования на ранее возникшие отношения: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</w:tbl>
    <w:p>
      <w:pPr>
        <w:pStyle w:val="Normal"/>
        <w:suppressLineNumbers/>
        <w:ind w:firstLine="33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Необходимые для достижения заявленных целей регулирования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организационно-технические, методологические, информационные</w:t>
      </w:r>
    </w:p>
    <w:p>
      <w:pPr>
        <w:pStyle w:val="Normal"/>
        <w:suppressLineNumbers/>
        <w:ind w:firstLine="33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 иные мероприятия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18.1. Мероприятия,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необходимые для достижения целей регулирования: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 требуются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18.2. Сроки проведения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мероприятий: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18.3.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Описание ожидаемого результата: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right="86" w:firstLine="512"/>
              <w:jc w:val="both"/>
              <w:rPr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18.4 Объем финансирования: </w:t>
            </w:r>
            <w:r>
              <w:rPr>
                <w:rFonts w:cs="Times New Roman" w:ascii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18.5. Источник финансирования: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>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18.6. Общий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</w:tbl>
    <w:p>
      <w:pPr>
        <w:pStyle w:val="Normal"/>
        <w:suppressLineNumbers/>
        <w:ind w:left="600" w:hanging="567"/>
        <w:jc w:val="center"/>
        <w:rPr>
          <w:rFonts w:ascii="Times New Roman" w:hAnsi="Times New Roman" w:cs="Times New Roman"/>
          <w:bCs/>
          <w:sz w:val="20"/>
          <w:szCs w:val="20"/>
          <w:lang w:eastAsia="ru-RU"/>
        </w:rPr>
      </w:pPr>
      <w:r>
        <w:rPr>
          <w:rFonts w:cs="Times New Roman" w:ascii="Times New Roman" w:hAnsi="Times New Roman"/>
          <w:bCs/>
          <w:sz w:val="20"/>
          <w:szCs w:val="20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Индикативные показатели, программы мониторинга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 иные способы (методы) оценки достижения заявленных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целей регулирования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>
          <w:trHeight w:val="1939" w:hRule="atLeast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Text"/>
              <w:widowControl w:val="false"/>
              <w:suppressLineNumbers/>
              <w:suppressAutoHyphens w:val="true"/>
              <w:ind w:right="86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19.1. Цели предлагаемого регулирования: </w:t>
            </w:r>
            <w:r>
              <w:rPr>
                <w:rFonts w:cs="Times New Roman"/>
                <w:i/>
                <w:iCs/>
                <w:sz w:val="28"/>
                <w:szCs w:val="28"/>
                <w:lang w:eastAsia="ru-RU"/>
              </w:rPr>
              <w:t>целями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i/>
                <w:iCs/>
                <w:sz w:val="28"/>
                <w:szCs w:val="28"/>
                <w:lang w:eastAsia="ru-RU"/>
              </w:rPr>
              <w:t xml:space="preserve">разработки проекта нормативного правового акта являются определение порядка выбора способа расчета объема и (или) </w:t>
            </w:r>
            <w:r>
              <w:rPr>
                <w:rFonts w:cs="Times New Roman" w:ascii="PT Astra Serif" w:hAnsi="PT Astra Serif"/>
                <w:i/>
                <w:iCs/>
                <w:sz w:val="28"/>
                <w:szCs w:val="28"/>
                <w:lang w:eastAsia="ru-RU"/>
              </w:rPr>
              <w:t>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                                   с твердыми коммунальными отходами и (или) потребителем услуги                           по обращению с твердыми коммунальными отходами  на территории Брянской области, а также процедуры изменения одного способа расчета объема и (или) массы твердых коммунальных отходов  на другой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19.2. Индикативные показатели: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>не установлены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19.3. Единицы измерения индикативных показателей: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</w:rPr>
              <w:t>не установлены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19.4. Способы расчета индикативных показателей:</w:t>
            </w:r>
            <w:r>
              <w:rPr>
                <w:rFonts w:cs="Times New Roman" w:ascii="Times New Roman" w:hAnsi="Times New Roman"/>
                <w:i/>
                <w:sz w:val="28"/>
                <w:szCs w:val="28"/>
              </w:rPr>
              <w:t xml:space="preserve"> нет</w:t>
            </w:r>
          </w:p>
        </w:tc>
      </w:tr>
      <w:tr>
        <w:trPr>
          <w:trHeight w:val="471" w:hRule="atLeast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LineNumbers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19.5. Информация о программах мониторинга и иных способах (методах) оценки достижения заявленных целей регулирования: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>
          <w:trHeight w:val="422" w:hRule="atLeast"/>
        </w:trPr>
        <w:tc>
          <w:tcPr>
            <w:tcW w:w="96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19.6. Оценка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затрат на осуществление мониторинга (в среднем в год): 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нет</w:t>
            </w:r>
          </w:p>
        </w:tc>
      </w:tr>
      <w:tr>
        <w:trPr>
          <w:trHeight w:val="316" w:hRule="atLeast"/>
        </w:trPr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19.7.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Описание источников информации для расчета индикаторов: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</w:tbl>
    <w:p>
      <w:pPr>
        <w:pStyle w:val="Normal"/>
        <w:suppressLineNumbers/>
        <w:ind w:left="600" w:hanging="567"/>
        <w:jc w:val="center"/>
        <w:rPr>
          <w:rFonts w:ascii="Times New Roman" w:hAnsi="Times New Roman" w:cs="Times New Roman"/>
          <w:bCs/>
          <w:sz w:val="20"/>
          <w:szCs w:val="20"/>
          <w:lang w:eastAsia="ru-RU"/>
        </w:rPr>
      </w:pPr>
      <w:r>
        <w:rPr>
          <w:rFonts w:cs="Times New Roman" w:ascii="Times New Roman" w:hAnsi="Times New Roman"/>
          <w:bCs/>
          <w:sz w:val="20"/>
          <w:szCs w:val="20"/>
          <w:lang w:eastAsia="ru-RU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Сведения о проведении публичных консультаций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по проекту нормативного правового акта</w:t>
      </w:r>
    </w:p>
    <w:p>
      <w:pPr>
        <w:pStyle w:val="ListParagraph"/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>
          <w:trHeight w:val="951" w:hRule="atLeast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134" w:leader="none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 xml:space="preserve">        </w:t>
            </w: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.1.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Полный электронный адрес размещения проекта нормативного правового акта в информационно-телекоммуникационной сети «Интернет»: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134" w:leader="none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https://econom32.ru/activity/publichnye-konsultacii-po-proektam-npa/2025_npa/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.2.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Срок, в течение которого разработчиком принимались предложения в связи с проведением публичного обсуждения проекта нормативного правового акта: с 9 по 28 сентября 2025 года</w:t>
            </w:r>
          </w:p>
        </w:tc>
      </w:tr>
      <w:tr>
        <w:trPr>
          <w:trHeight w:val="646" w:hRule="atLeast"/>
        </w:trPr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.3.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Сведения об участниках публичных консультаций, извещенных </w:t>
              <w:br/>
              <w:t>о проведении публичных консультаций: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.4.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Сведения о лицах, представивших предложения</w:t>
            </w:r>
            <w:r>
              <w:rPr>
                <w:rFonts w:cs="Times New Roman" w:ascii="Times New Roman" w:hAnsi="Times New Roman"/>
                <w:i/>
                <w:sz w:val="28"/>
                <w:szCs w:val="28"/>
                <w:lang w:eastAsia="ru-RU"/>
              </w:rPr>
              <w:t>: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.5.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Сведения о структурных подразделениях разработчика, рассмотревших представленные предложения: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right="86" w:firstLine="567"/>
              <w:jc w:val="both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.6.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Иные сведения о проведении публичного обсуждения проекта нормативного правового акта:</w:t>
            </w:r>
          </w:p>
        </w:tc>
      </w:tr>
    </w:tbl>
    <w:p>
      <w:pPr>
        <w:pStyle w:val="Normal"/>
        <w:suppressLineNumbers/>
        <w:ind w:left="600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uppressLineNumbers/>
        <w:tabs>
          <w:tab w:val="clear" w:pos="709"/>
          <w:tab w:val="left" w:pos="426" w:leader="none"/>
        </w:tabs>
        <w:ind w:left="0" w:hanging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Иные сведения, которые, по мнению разработчика,</w:t>
      </w:r>
    </w:p>
    <w:p>
      <w:pPr>
        <w:pStyle w:val="Normal"/>
        <w:suppressLineNumbers/>
        <w:ind w:firstLine="33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  <w:t>позволяют оценить обоснованность предлагаемого регулирования</w:t>
      </w:r>
    </w:p>
    <w:tbl>
      <w:tblPr>
        <w:tblW w:w="9639" w:type="dxa"/>
        <w:jc w:val="left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21.1.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Иные необходимые, по мнению разработчика, сведения: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нет</w:t>
            </w:r>
          </w:p>
        </w:tc>
      </w:tr>
      <w:tr>
        <w:trPr/>
        <w:tc>
          <w:tcPr>
            <w:tcW w:w="9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3"/>
              <w:widowControl w:val="false"/>
              <w:ind w:firstLine="567"/>
              <w:rPr>
                <w:rFonts w:ascii="Times New Roman" w:hAnsi="Times New Roman" w:cs="Times New Roman"/>
                <w:i/>
                <w:i/>
                <w:iCs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bidi="ar-SA"/>
              </w:rPr>
              <w:t>21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.2. Источники данных: </w:t>
            </w:r>
            <w:r>
              <w:rPr>
                <w:rFonts w:cs="Times New Roman" w:ascii="Times New Roman" w:hAnsi="Times New Roman"/>
                <w:i/>
                <w:iCs/>
                <w:sz w:val="28"/>
                <w:szCs w:val="28"/>
                <w:lang w:eastAsia="ru-RU"/>
              </w:rPr>
              <w:t>нет</w:t>
            </w:r>
          </w:p>
        </w:tc>
      </w:tr>
    </w:tbl>
    <w:p>
      <w:pPr>
        <w:pStyle w:val="Normal"/>
        <w:suppressLineNumbers/>
        <w:suppressAutoHyphens w:val="false"/>
        <w:ind w:left="1701" w:hanging="1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LineNumbers/>
        <w:suppressAutoHyphens w:val="false"/>
        <w:ind w:left="1701" w:hanging="1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LineNumbers/>
        <w:suppressAutoHyphens w:val="false"/>
        <w:ind w:left="1701" w:hanging="1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LineNumbers/>
        <w:suppressAutoHyphens w:val="fals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Директор департамента</w:t>
      </w:r>
    </w:p>
    <w:p>
      <w:pPr>
        <w:pStyle w:val="Normal"/>
        <w:suppressLineNumbers/>
        <w:suppressAutoHyphens w:val="fals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природных ресурсов и экологии</w:t>
      </w:r>
    </w:p>
    <w:p>
      <w:pPr>
        <w:pStyle w:val="Normal"/>
        <w:suppressLineNumbers/>
        <w:suppressAutoHyphens w:val="fals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Брянской области</w:t>
      </w: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            А.В. Батарчук</w:t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PT Astra Serif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8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15f59"/>
    <w:pPr>
      <w:widowControl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sid w:val="00ce40a7"/>
    <w:rPr>
      <w:color w:val="0000FF"/>
      <w:u w:val="single"/>
    </w:rPr>
  </w:style>
  <w:style w:type="character" w:styleId="Style9" w:customStyle="1">
    <w:name w:val="Текст сноски Знак"/>
    <w:basedOn w:val="DefaultParagraphFont"/>
    <w:qFormat/>
    <w:rsid w:val="00bf4980"/>
    <w:rPr>
      <w:rFonts w:eastAsia="Calibri" w:cs="Times New Roman"/>
      <w:sz w:val="20"/>
      <w:szCs w:val="20"/>
      <w:lang w:eastAsia="ru-RU" w:bidi="ar-SA"/>
    </w:rPr>
  </w:style>
  <w:style w:type="character" w:styleId="Style10">
    <w:name w:val="Символ сноски"/>
    <w:qFormat/>
    <w:rsid w:val="002932d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rsid w:val="00b15f59"/>
    <w:pPr>
      <w:spacing w:lineRule="auto" w:line="276" w:before="0" w:after="140"/>
    </w:pPr>
    <w:rPr/>
  </w:style>
  <w:style w:type="paragraph" w:styleId="List">
    <w:name w:val="List"/>
    <w:basedOn w:val="BodyText"/>
    <w:rsid w:val="00b15f59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Noto Sans Devanagari"/>
    </w:rPr>
  </w:style>
  <w:style w:type="paragraph" w:styleId="1" w:customStyle="1">
    <w:name w:val="Заголовок1"/>
    <w:basedOn w:val="Normal"/>
    <w:next w:val="BodyText"/>
    <w:qFormat/>
    <w:rsid w:val="00b15f59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11" w:customStyle="1">
    <w:name w:val="Название объекта1"/>
    <w:basedOn w:val="Normal"/>
    <w:qFormat/>
    <w:rsid w:val="00b15f59"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rsid w:val="00b15f59"/>
    <w:pPr>
      <w:suppressLineNumbers/>
    </w:pPr>
    <w:rPr/>
  </w:style>
  <w:style w:type="paragraph" w:styleId="Style13" w:customStyle="1">
    <w:name w:val="Содержимое таблицы"/>
    <w:basedOn w:val="Normal"/>
    <w:qFormat/>
    <w:rsid w:val="00b15f59"/>
    <w:pPr>
      <w:widowControl w:val="false"/>
      <w:suppressLineNumbers/>
    </w:pPr>
    <w:rPr/>
  </w:style>
  <w:style w:type="paragraph" w:styleId="FootnoteText">
    <w:name w:val="Footnote Text"/>
    <w:basedOn w:val="Normal"/>
    <w:rsid w:val="00bf4980"/>
    <w:pPr>
      <w:suppressAutoHyphens w:val="false"/>
    </w:pPr>
    <w:rPr>
      <w:rFonts w:ascii="Times New Roman" w:hAnsi="Times New Roman" w:eastAsia="Calibri" w:cs="Times New Roman"/>
      <w:kern w:val="0"/>
      <w:sz w:val="20"/>
      <w:szCs w:val="20"/>
      <w:lang w:eastAsia="ru-RU" w:bidi="ar-SA"/>
    </w:rPr>
  </w:style>
  <w:style w:type="paragraph" w:styleId="Style14" w:customStyle="1">
    <w:name w:val="Заголовок таблицы"/>
    <w:basedOn w:val="Style13"/>
    <w:qFormat/>
    <w:rsid w:val="00b15f59"/>
    <w:pPr>
      <w:jc w:val="center"/>
    </w:pPr>
    <w:rPr>
      <w:b/>
      <w:bCs/>
    </w:rPr>
  </w:style>
  <w:style w:type="paragraph" w:styleId="12" w:customStyle="1">
    <w:name w:val="Обычная таблица1"/>
    <w:qFormat/>
    <w:rsid w:val="00b15f59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6d687f"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ConsPlusNormal" w:customStyle="1">
    <w:name w:val="ConsPlusNormal"/>
    <w:qFormat/>
    <w:rsid w:val="00de52ee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Pt-pt-a-000003-000002" w:customStyle="1">
    <w:name w:val="pt-pt-a-000003-000002"/>
    <w:basedOn w:val="Normal"/>
    <w:qFormat/>
    <w:rsid w:val="002932dc"/>
    <w:pPr>
      <w:suppressAutoHyphens w:val="false"/>
      <w:spacing w:beforeAutospacing="1" w:afterAutospacing="1"/>
    </w:pPr>
    <w:rPr>
      <w:rFonts w:ascii="Times New Roman" w:hAnsi="Times New Roman" w:eastAsia="Times New Roman" w:cs="Times New Roman"/>
      <w:kern w:val="0"/>
      <w:lang w:eastAsia="ru-RU" w:bidi="ar-SA"/>
    </w:rPr>
  </w:style>
  <w:style w:type="paragraph" w:styleId="Standard" w:customStyle="1">
    <w:name w:val="Standard"/>
    <w:qFormat/>
    <w:rsid w:val="0027046a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4e0d0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B5BBA-5D5D-443E-A296-C29B4C21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Application>AlterOffice/3.4.0.9$Linux_X86_64 LibreOffice_project/b8daf9e823b1a5463a2f48435ddc2e8696e7d4fc</Application>
  <AppVersion>15.0000</AppVersion>
  <Pages>11</Pages>
  <Words>2799</Words>
  <Characters>19924</Characters>
  <CharactersWithSpaces>23514</CharactersWithSpaces>
  <Paragraphs>166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2025-05-16T05:59:00Z</dcterms:created>
  <dc:creator>Batrak</dc:creator>
  <dc:description/>
  <dc:language>ru-RU</dc:language>
  <cp:lastModifiedBy>user</cp:lastModifiedBy>
  <cp:lastPrinted>2025-09-08T14:32:47Z</cp:lastPrinted>
  <dcterms:modified xsi:type="dcterms:W3CDTF">2025-09-08T14:32:53Z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